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63132F4A" w14:textId="77777777" w:rsidR="0085089B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3E45A6" w:rsidRPr="009003FD">
        <w:rPr>
          <w:color w:val="004B93"/>
          <w:sz w:val="28"/>
          <w:szCs w:val="28"/>
        </w:rPr>
        <w:t xml:space="preserve"> </w:t>
      </w:r>
      <w:proofErr w:type="spellStart"/>
      <w:r w:rsidR="0085089B">
        <w:rPr>
          <w:color w:val="004B93"/>
          <w:sz w:val="28"/>
          <w:szCs w:val="28"/>
        </w:rPr>
        <w:t>Clinician</w:t>
      </w:r>
      <w:proofErr w:type="spellEnd"/>
      <w:r w:rsidR="0085089B">
        <w:rPr>
          <w:color w:val="004B93"/>
          <w:sz w:val="28"/>
          <w:szCs w:val="28"/>
        </w:rPr>
        <w:t xml:space="preserve"> Scientist Professur</w:t>
      </w:r>
    </w:p>
    <w:p w14:paraId="1BBFA53E" w14:textId="07E3F090" w:rsidR="008C599E" w:rsidRPr="009003FD" w:rsidRDefault="009003FD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4"/>
          <w:szCs w:val="24"/>
        </w:rPr>
        <w:t xml:space="preserve">(Stand </w:t>
      </w:r>
      <w:r w:rsidR="0085089B">
        <w:rPr>
          <w:color w:val="004B93"/>
          <w:sz w:val="24"/>
          <w:szCs w:val="24"/>
        </w:rPr>
        <w:t>Januar 2023</w:t>
      </w:r>
      <w:r w:rsidRPr="009003FD">
        <w:rPr>
          <w:color w:val="004B93"/>
          <w:sz w:val="24"/>
          <w:szCs w:val="24"/>
        </w:rPr>
        <w:t>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0DFD400E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</w:t>
      </w:r>
      <w:r w:rsidR="0085089B">
        <w:rPr>
          <w:sz w:val="20"/>
          <w:szCs w:val="20"/>
        </w:rPr>
        <w:t>5</w:t>
      </w:r>
      <w:bookmarkStart w:id="0" w:name="_GoBack"/>
      <w:bookmarkEnd w:id="0"/>
      <w:r w:rsidR="003E45A6">
        <w:rPr>
          <w:sz w:val="20"/>
          <w:szCs w:val="20"/>
        </w:rPr>
        <w:t xml:space="preserve">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3CE77189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  <w:r w:rsidR="00986EFF">
        <w:rPr>
          <w:sz w:val="20"/>
          <w:szCs w:val="20"/>
        </w:rPr>
        <w:t xml:space="preserve"> </w:t>
      </w:r>
      <w:r w:rsidR="00986EFF" w:rsidRPr="00DD25AF">
        <w:rPr>
          <w:sz w:val="20"/>
          <w:szCs w:val="20"/>
        </w:rPr>
        <w:t>aus dem Erscheinungsjahr; sofern dieser noch nicht vorliegt derjenige aus dem nächst liegenden Jahr.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DD25AF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>Beste C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Arning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L,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Gerding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WM,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Epplen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JT,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Mertins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Röder</w:t>
            </w:r>
            <w:proofErr w:type="spellEnd"/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MC, Bless</w:t>
            </w:r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38F9AA5D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Cognitive Control Processes and Functional Cerebral Asymmetries:</w:t>
            </w:r>
          </w:p>
          <w:p w14:paraId="505DB2AC" w14:textId="602E8375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Association with Variation in the Handedness-Associated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DD25AF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When repetitive mental sets increase cognitive flexibility in adolescent</w:t>
            </w:r>
          </w:p>
          <w:p w14:paraId="1D4E76E7" w14:textId="2ECCACEE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obsessive-compulsive disorder.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J Child Psychol Psychiatry.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Altered perception-action binding modulates inhibitory control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How high-dose alcohol intoxication affects the interplay of automatic and</w:t>
            </w:r>
          </w:p>
          <w:p w14:paraId="248F95A0" w14:textId="47030FE9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controlled processes.</w:t>
            </w:r>
          </w:p>
          <w:p w14:paraId="1807CDBC" w14:textId="6DB6CA1E" w:rsidR="008C599E" w:rsidRPr="00DD25AF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US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7C7373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Addict Biol. 2020;25(1):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86EFF" w:rsidRPr="003A2D7A" w14:paraId="0140C26E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DCB86" w14:textId="133C43DB" w:rsidR="00986EFF" w:rsidRPr="003A2D7A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5C951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90902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9B70BC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986EFF" w:rsidRPr="003A2D7A" w14:paraId="2AE76F14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ED2555" w14:textId="32CBC446" w:rsidR="00986EFF" w:rsidRPr="00DD25AF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9.</w:t>
            </w:r>
            <w:r w:rsidR="00A512B6" w:rsidRPr="00DD25AF">
              <w:rPr>
                <w:rFonts w:eastAsia="Calibri"/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DEEEB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37A53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88A89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68B9C2E5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="00D851E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512B6" w:rsidRPr="003A2D7A" w14:paraId="1BCFACD0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0211E" w14:textId="7D44732E" w:rsidR="00A512B6" w:rsidRPr="003A2D7A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35A50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14C5D71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A9A29A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A512B6" w:rsidRPr="003A2D7A" w14:paraId="6CFF9B4B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ACF5D" w14:textId="12712533" w:rsidR="00A512B6" w:rsidRPr="00DD25AF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1F103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7CBD8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D63E973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01CF2D1D" w14:textId="77777777" w:rsidR="00D851E0" w:rsidRDefault="00D851E0" w:rsidP="00D851E0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0D649AAC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85089B" w:rsidRPr="0085089B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85089B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85089B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0B2FDC"/>
    <w:rsid w:val="0011370A"/>
    <w:rsid w:val="001F5157"/>
    <w:rsid w:val="0021635E"/>
    <w:rsid w:val="003A2D7A"/>
    <w:rsid w:val="003C7ED8"/>
    <w:rsid w:val="003E45A6"/>
    <w:rsid w:val="005B5553"/>
    <w:rsid w:val="00692E50"/>
    <w:rsid w:val="007C7373"/>
    <w:rsid w:val="0085089B"/>
    <w:rsid w:val="008C599E"/>
    <w:rsid w:val="008D62EF"/>
    <w:rsid w:val="009003FD"/>
    <w:rsid w:val="009776EA"/>
    <w:rsid w:val="00986EFF"/>
    <w:rsid w:val="0099053B"/>
    <w:rsid w:val="009F1655"/>
    <w:rsid w:val="00A06CE9"/>
    <w:rsid w:val="00A512B6"/>
    <w:rsid w:val="00AF349B"/>
    <w:rsid w:val="00BE3E08"/>
    <w:rsid w:val="00C705B6"/>
    <w:rsid w:val="00D0185B"/>
    <w:rsid w:val="00D851E0"/>
    <w:rsid w:val="00DC361A"/>
    <w:rsid w:val="00DD25AF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FF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51E0"/>
    <w:pPr>
      <w:ind w:left="720"/>
      <w:contextualSpacing/>
    </w:pPr>
  </w:style>
  <w:style w:type="paragraph" w:styleId="berarbeitung">
    <w:name w:val="Revision"/>
    <w:hidden/>
    <w:uiPriority w:val="99"/>
    <w:semiHidden/>
    <w:rsid w:val="00DD25AF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3</cp:revision>
  <dcterms:created xsi:type="dcterms:W3CDTF">2023-01-20T14:27:00Z</dcterms:created>
  <dcterms:modified xsi:type="dcterms:W3CDTF">2023-01-20T14:28:00Z</dcterms:modified>
</cp:coreProperties>
</file>