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303F73CF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</w:p>
    <w:p w14:paraId="0C96F465" w14:textId="2471DD6E" w:rsidR="008C599E" w:rsidRPr="00CF5D9D" w:rsidRDefault="00627C90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>
        <w:rPr>
          <w:color w:val="004B93"/>
          <w:sz w:val="28"/>
          <w:szCs w:val="28"/>
        </w:rPr>
        <w:t xml:space="preserve">Else Kröner </w:t>
      </w:r>
      <w:proofErr w:type="spellStart"/>
      <w:r>
        <w:rPr>
          <w:color w:val="004B93"/>
          <w:sz w:val="28"/>
          <w:szCs w:val="28"/>
        </w:rPr>
        <w:t>Clinician</w:t>
      </w:r>
      <w:proofErr w:type="spellEnd"/>
      <w:r>
        <w:rPr>
          <w:color w:val="004B93"/>
          <w:sz w:val="28"/>
          <w:szCs w:val="28"/>
        </w:rPr>
        <w:t xml:space="preserve"> Scientist Professur 2022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7983227B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begutachtete</w:t>
      </w:r>
      <w:r w:rsidR="00627C90">
        <w:t>r</w:t>
      </w:r>
      <w:r>
        <w:t xml:space="preserve"> Originalpublikationen und Übersichtsarbeiten (jeweils in separaten Listen) </w:t>
      </w:r>
      <w:r w:rsidR="00627C90">
        <w:t>der letzten fünf und des laufenden Jahres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6437EC91" w:rsidR="008E1925" w:rsidRPr="008E1925" w:rsidRDefault="00627C90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lang w:val="en-GB"/>
              </w:rPr>
              <w:t>1</w:t>
            </w:r>
            <w:r w:rsidR="008E1925">
              <w:rPr>
                <w:rFonts w:ascii="Calibri" w:eastAsia="Calibri" w:hAnsi="Calibri" w:cs="Calibri"/>
                <w:lang w:val="en-GB"/>
              </w:rPr>
              <w:t>.</w:t>
            </w:r>
            <w:r w:rsidR="008E1925" w:rsidRPr="00CE2079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norepinephrine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system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and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relevance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multi-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component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behavior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43E07D09" w:rsidR="008C599E" w:rsidRPr="00CE2079" w:rsidRDefault="00627C90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27C90" w14:paraId="20FC2F52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10CC" w14:textId="4494F38A" w:rsidR="00627C90" w:rsidRPr="00627C90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627C90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Pr="00627C90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.</w:t>
            </w:r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Rosales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Domingo A, Lee L,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Ng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 Klein C,</w:t>
            </w:r>
          </w:p>
          <w:p w14:paraId="444413C9" w14:textId="1EF3DBC3" w:rsidR="00627C90" w:rsidRPr="00627C90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A.</w:t>
            </w:r>
          </w:p>
          <w:p w14:paraId="02B7F046" w14:textId="3D70558A" w:rsidR="00627C90" w:rsidRPr="00627C90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Striosomal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dysfunction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affects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behavioral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adaptation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but not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impulsivity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-</w:t>
            </w:r>
          </w:p>
          <w:p w14:paraId="2EFA9EEB" w14:textId="60EBA2ED" w:rsidR="00627C90" w:rsidRDefault="00627C90" w:rsidP="00627C90">
            <w:pPr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Evidence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from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X-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linked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dystonia-parkinsonism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09B1613E" w14:textId="3FBD619E" w:rsidR="00627C90" w:rsidRPr="00627C90" w:rsidRDefault="00627C90" w:rsidP="00627C90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IDFont+F4" w:eastAsiaTheme="minorHAnsi" w:hAnsi="CIDFont+F4" w:cs="CIDFont+F4"/>
                <w:color w:val="auto"/>
                <w:sz w:val="21"/>
                <w:szCs w:val="21"/>
                <w:lang w:eastAsia="en-US"/>
              </w:rPr>
              <w:t xml:space="preserve">    </w:t>
            </w:r>
            <w:proofErr w:type="spellStart"/>
            <w:r w:rsidRPr="00627C90">
              <w:rPr>
                <w:rFonts w:ascii="CIDFont+F4" w:eastAsiaTheme="minorHAnsi" w:hAnsi="CIDFont+F4" w:cs="CIDFont+F4"/>
                <w:i/>
                <w:color w:val="auto"/>
                <w:sz w:val="21"/>
                <w:szCs w:val="21"/>
                <w:lang w:eastAsia="en-US"/>
              </w:rPr>
              <w:t>Mov</w:t>
            </w:r>
            <w:proofErr w:type="spellEnd"/>
            <w:r w:rsidRPr="00627C90">
              <w:rPr>
                <w:rFonts w:ascii="CIDFont+F4" w:eastAsiaTheme="minorHAnsi" w:hAnsi="CIDFont+F4" w:cs="CIDFont+F4"/>
                <w:i/>
                <w:color w:val="auto"/>
                <w:sz w:val="21"/>
                <w:szCs w:val="21"/>
                <w:lang w:eastAsia="en-US"/>
              </w:rPr>
              <w:t xml:space="preserve"> Disord</w:t>
            </w:r>
            <w:r w:rsidRPr="00627C90">
              <w:rPr>
                <w:rFonts w:ascii="CIDFont+F2" w:eastAsia="CIDFont+F2" w:hAnsi="CIDFont+F4" w:cs="CIDFont+F2"/>
                <w:i/>
                <w:color w:val="auto"/>
                <w:sz w:val="21"/>
                <w:szCs w:val="21"/>
                <w:lang w:eastAsia="en-US"/>
              </w:rPr>
              <w:t>.</w:t>
            </w:r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2017;32(4):576</w:t>
            </w:r>
            <w:r w:rsidRPr="00627C90">
              <w:rPr>
                <w:rFonts w:ascii="Cambria Math" w:eastAsia="CIDFont+F2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584.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3FCB" w14:textId="437CDE32" w:rsidR="00627C90" w:rsidRPr="00CE2079" w:rsidRDefault="00627C90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3866" w14:textId="19E88966" w:rsidR="00627C90" w:rsidRPr="00CE2079" w:rsidRDefault="00627C90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5907" w14:textId="77777777" w:rsidR="00627C90" w:rsidRPr="00CE2079" w:rsidRDefault="00627C90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27C90" w14:paraId="7B80BB70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7A8C" w14:textId="11313895" w:rsidR="00627C90" w:rsidRPr="00627C90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CIDFont+F2" w:eastAsia="CIDFont+F2" w:hAnsiTheme="minorHAnsi" w:cs="CIDFont+F2"/>
                <w:color w:val="auto"/>
                <w:sz w:val="21"/>
                <w:szCs w:val="21"/>
                <w:lang w:eastAsia="en-US"/>
              </w:rPr>
              <w:t>.</w:t>
            </w:r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Buse J, Tost J,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Pr="00627C90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06D72714" w14:textId="308BCF00" w:rsidR="00627C90" w:rsidRPr="00627C90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Modulations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of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cognitive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flexibility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obsessive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compulsive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disorder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reflect</w:t>
            </w:r>
            <w:proofErr w:type="spellEnd"/>
          </w:p>
          <w:p w14:paraId="0702D20E" w14:textId="1652010A" w:rsidR="00627C90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2" w:eastAsia="CIDFont+F2" w:hAnsiTheme="minorHAnsi" w:cs="CIDFont+F2"/>
                <w:color w:val="auto"/>
                <w:sz w:val="21"/>
                <w:szCs w:val="21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dysfunctions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of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perceptual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categorization</w:t>
            </w:r>
            <w:proofErr w:type="spellEnd"/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204D79B0" w14:textId="0B364C69" w:rsidR="00627C90" w:rsidRDefault="00627C90" w:rsidP="00627C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IDFont+F4" w:eastAsia="CIDFont+F2" w:hAnsi="CIDFont+F4" w:cs="CIDFont+F4"/>
                <w:color w:val="auto"/>
                <w:sz w:val="21"/>
                <w:szCs w:val="21"/>
                <w:lang w:eastAsia="en-US"/>
              </w:rPr>
              <w:t xml:space="preserve">    </w:t>
            </w:r>
            <w:r w:rsidRPr="00627C90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Pr="00627C90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Pr="00627C90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7C90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Pr="00627C90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CIDFont+F2" w:eastAsia="CIDFont+F2" w:hAnsiTheme="minorHAnsi" w:cs="CIDFont+F2"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2017;58(8):939</w:t>
            </w:r>
            <w:r w:rsidRPr="00627C90">
              <w:rPr>
                <w:rFonts w:eastAsia="CIDFont+F2" w:hint="eastAsia"/>
                <w:color w:val="auto"/>
                <w:sz w:val="20"/>
                <w:szCs w:val="20"/>
                <w:lang w:eastAsia="en-US"/>
              </w:rPr>
              <w:t>‐</w:t>
            </w:r>
            <w:r w:rsidRPr="00627C90">
              <w:rPr>
                <w:rFonts w:eastAsia="CIDFont+F2"/>
                <w:color w:val="auto"/>
                <w:sz w:val="20"/>
                <w:szCs w:val="20"/>
                <w:lang w:eastAsia="en-US"/>
              </w:rPr>
              <w:t>949.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281B" w14:textId="0E7A82F2" w:rsidR="00627C90" w:rsidRDefault="00627C90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857A" w14:textId="77777777" w:rsidR="00627C90" w:rsidRDefault="00627C90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61DA" w14:textId="0097FE0A" w:rsidR="00627C90" w:rsidRPr="00627C90" w:rsidRDefault="00627C90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27C9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RLS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patients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show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better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nocturnal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performance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the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Simon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task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due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to</w:t>
            </w:r>
            <w:proofErr w:type="spellEnd"/>
          </w:p>
          <w:p w14:paraId="6E5A0530" w14:textId="6F5DBFA3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diminished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visuo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-motor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priming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Clin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Neurophysiol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027E8769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4E417A95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44682" w:rsidRPr="0024468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244682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244682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62287"/>
    <w:rsid w:val="00244682"/>
    <w:rsid w:val="00245487"/>
    <w:rsid w:val="00323C34"/>
    <w:rsid w:val="003C3130"/>
    <w:rsid w:val="00441E4F"/>
    <w:rsid w:val="00541CF1"/>
    <w:rsid w:val="00627C90"/>
    <w:rsid w:val="00692E50"/>
    <w:rsid w:val="006D08FB"/>
    <w:rsid w:val="006D7381"/>
    <w:rsid w:val="007F117C"/>
    <w:rsid w:val="008C599E"/>
    <w:rsid w:val="008E1925"/>
    <w:rsid w:val="00A02F71"/>
    <w:rsid w:val="00A56422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1750</Characters>
  <Application>Microsoft Office Word</Application>
  <DocSecurity>0</DocSecurity>
  <Lines>30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3</cp:revision>
  <dcterms:created xsi:type="dcterms:W3CDTF">2022-01-14T09:13:00Z</dcterms:created>
  <dcterms:modified xsi:type="dcterms:W3CDTF">2022-01-14T09:23:00Z</dcterms:modified>
</cp:coreProperties>
</file>