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9E" w:rsidRPr="003A2D7A" w:rsidRDefault="008C599E" w:rsidP="008C599E">
      <w:pPr>
        <w:spacing w:after="0" w:line="240" w:lineRule="auto"/>
        <w:ind w:right="0"/>
      </w:pPr>
      <w:bookmarkStart w:id="0" w:name="_GoBack"/>
      <w:bookmarkEnd w:id="0"/>
    </w:p>
    <w:p w:rsidR="008C599E" w:rsidRPr="003A2D7A" w:rsidRDefault="008C599E" w:rsidP="008C599E">
      <w:pPr>
        <w:pStyle w:val="berschrift2"/>
        <w:spacing w:after="0" w:line="240" w:lineRule="auto"/>
        <w:ind w:left="530"/>
        <w:rPr>
          <w:color w:val="004B93"/>
          <w:sz w:val="32"/>
          <w:szCs w:val="32"/>
        </w:rPr>
      </w:pPr>
      <w:r w:rsidRPr="003A2D7A">
        <w:rPr>
          <w:color w:val="004B93"/>
          <w:sz w:val="32"/>
          <w:szCs w:val="32"/>
        </w:rPr>
        <w:t>Muster für Publikationsverzeichnis</w:t>
      </w:r>
    </w:p>
    <w:p w:rsidR="008C599E" w:rsidRPr="003A2D7A" w:rsidRDefault="008C599E" w:rsidP="008C599E">
      <w:pPr>
        <w:rPr>
          <w:sz w:val="20"/>
          <w:szCs w:val="20"/>
        </w:rPr>
      </w:pP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(jeweils in separaten Listen)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</w:p>
    <w:p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Erstautorenschaften (EA) und Letztautorenschaften (LA) </w:t>
      </w: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2016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3A2D7A">
              <w:rPr>
                <w:rFonts w:eastAsia="Calibri"/>
                <w:sz w:val="20"/>
                <w:szCs w:val="20"/>
              </w:rPr>
              <w:t xml:space="preserve">Esser R, Bönig H, Koehl, Klingebiel T.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haploidentical stem cell transplantation in children using CD3/CD19-depleted stem cells. </w:t>
            </w:r>
          </w:p>
          <w:p w:rsidR="008C599E" w:rsidRPr="003A2D7A" w:rsidRDefault="008C599E" w:rsidP="00E867C0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3A2D7A">
              <w:rPr>
                <w:rFonts w:eastAsia="Calibri"/>
                <w:i/>
                <w:sz w:val="20"/>
                <w:szCs w:val="20"/>
                <w:lang w:val="en-US"/>
              </w:rPr>
              <w:t xml:space="preserve">Best Pract Res Clin Haematol </w:t>
            </w:r>
            <w:r w:rsidRPr="003A2D7A">
              <w:rPr>
                <w:rFonts w:eastAsia="Calibri"/>
                <w:sz w:val="20"/>
                <w:szCs w:val="20"/>
                <w:lang w:val="en-US"/>
              </w:rPr>
              <w:t xml:space="preserve">2016;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Rettinger E, Willasch AM, Schlegel PG, Klingebiel T,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Preemptive immunotherapy in childhood acute myeloid leukemia for patients showing evidence of mixed chimerism after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i/>
                <w:sz w:val="20"/>
                <w:szCs w:val="20"/>
              </w:rPr>
              <w:t>Blood 2016; 118:5681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2017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3. Lion T, Frommlet F, </w:t>
            </w:r>
            <w:r w:rsidRPr="003A2D7A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EuroChimerism concept analysis after allogeneic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 w:rsidRPr="003A2D7A">
              <w:rPr>
                <w:rFonts w:eastAsia="Calibri"/>
                <w:i/>
                <w:sz w:val="20"/>
                <w:szCs w:val="20"/>
              </w:rPr>
              <w:t xml:space="preserve">Leukemia </w:t>
            </w:r>
            <w:r w:rsidRPr="003A2D7A">
              <w:rPr>
                <w:rFonts w:eastAsia="Calibri"/>
                <w:sz w:val="20"/>
                <w:szCs w:val="20"/>
              </w:rPr>
              <w:t xml:space="preserve">2017;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Weger R, E, Steward C, Harvey J, Frommlet F, </w:t>
            </w:r>
            <w:r w:rsidRPr="003A2D7A">
              <w:rPr>
                <w:rFonts w:eastAsia="Calibri"/>
                <w:b/>
                <w:sz w:val="20"/>
                <w:szCs w:val="20"/>
              </w:rPr>
              <w:t>Bader P</w:t>
            </w:r>
            <w:r w:rsidRPr="003A2D7A">
              <w:rPr>
                <w:rFonts w:eastAsia="Calibri"/>
                <w:sz w:val="20"/>
                <w:szCs w:val="20"/>
              </w:rPr>
              <w:t>, Müller X.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3A2D7A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i/>
                <w:sz w:val="20"/>
                <w:szCs w:val="20"/>
              </w:rPr>
              <w:t xml:space="preserve">Leukemia </w:t>
            </w:r>
            <w:r w:rsidRPr="003A2D7A">
              <w:rPr>
                <w:rFonts w:eastAsia="Calibri"/>
                <w:sz w:val="20"/>
                <w:szCs w:val="20"/>
              </w:rPr>
              <w:t xml:space="preserve">2018;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2019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2020</w:t>
            </w: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2 </w:t>
            </w:r>
          </w:p>
        </w:tc>
      </w:tr>
    </w:tbl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Kasuistiken,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2020</w:t>
            </w: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8C599E" w:rsidRPr="003A2D7A" w:rsidRDefault="008C599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2 </w:t>
            </w:r>
          </w:p>
        </w:tc>
      </w:tr>
    </w:tbl>
    <w:p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44" w:rsidRDefault="00E95FB9">
      <w:pPr>
        <w:spacing w:after="0" w:line="240" w:lineRule="auto"/>
      </w:pPr>
      <w:r>
        <w:separator/>
      </w:r>
    </w:p>
  </w:endnote>
  <w:endnote w:type="continuationSeparator" w:id="0">
    <w:p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lid Square Light">
    <w:panose1 w:val="020B0304000000000000"/>
    <w:charset w:val="00"/>
    <w:family w:val="swiss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CB40E62" wp14:editId="5298B2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F82377" wp14:editId="387572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4D3561" w:rsidRPr="004D3561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:rsidR="00961707" w:rsidRDefault="004D3561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0ABA99" wp14:editId="1AA553CE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DFFD384" wp14:editId="7A623C93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5BADA80" wp14:editId="0C5D272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707" w:rsidRDefault="004D3561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CA85D65" wp14:editId="32139368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F5157"/>
    <w:rsid w:val="0021635E"/>
    <w:rsid w:val="003A2D7A"/>
    <w:rsid w:val="004D3561"/>
    <w:rsid w:val="00692E50"/>
    <w:rsid w:val="008C599E"/>
    <w:rsid w:val="008D62EF"/>
    <w:rsid w:val="009776EA"/>
    <w:rsid w:val="00BE3E08"/>
    <w:rsid w:val="00E95FB9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Dr. Alexander Lehmann</cp:lastModifiedBy>
  <cp:revision>2</cp:revision>
  <dcterms:created xsi:type="dcterms:W3CDTF">2020-10-20T10:25:00Z</dcterms:created>
  <dcterms:modified xsi:type="dcterms:W3CDTF">2020-10-20T10:25:00Z</dcterms:modified>
</cp:coreProperties>
</file>